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368"/>
      </w:tblGrid>
      <w:tr>
        <w:tc>
          <w:tcPr>
            <w:tcW w:type="dxa" w:w="10368"/>
            <w:shd w:fill="6C93B3"/>
            <w:tcMar>
              <w:top w:w="170" w:type="dxa"/>
              <w:start w:w="220" w:type="dxa"/>
              <w:bottom w:w="145" w:type="dxa"/>
              <w:end w:w="220" w:type="dxa"/>
            </w:tcMar>
          </w:tcPr>
          <w:p>
            <w:pPr>
              <w:spacing w:after="20"/>
              <w:jc w:val="center"/>
            </w:pPr>
            <w:r>
              <w:rPr>
                <w:rFonts w:ascii="Aptos Display" w:hAnsi="Aptos Display"/>
                <w:b/>
                <w:color w:val="FFFFFF"/>
                <w:sz w:val="48"/>
              </w:rPr>
              <w:t>BRITTANY BLUE</w:t>
            </w:r>
          </w:p>
          <w:p>
            <w:pPr>
              <w:spacing w:after="60"/>
              <w:jc w:val="center"/>
            </w:pPr>
            <w:r>
              <w:rPr>
                <w:b/>
                <w:color w:val="FFFFFF"/>
                <w:sz w:val="20"/>
              </w:rPr>
              <w:t>VIRTUAL ASSISTANT | BUSINESS SYSTEMS &amp; DIGITAL SUPPORT</w:t>
            </w:r>
          </w:p>
          <w:p>
            <w:pPr>
              <w:spacing w:after="0"/>
              <w:jc w:val="center"/>
            </w:pPr>
            <w:r>
              <w:rPr>
                <w:color w:val="FFFFFF"/>
                <w:sz w:val="18"/>
              </w:rPr>
              <w:t>Charlotte, NC  |  brittanylavonneblue@gmail.com  |  brittanyblueva.com</w:t>
            </w:r>
          </w:p>
        </w:tc>
      </w:tr>
    </w:tbl>
    <w:p>
      <w:pPr>
        <w:pStyle w:val="Heading1"/>
        <w:keepNext/>
      </w:pPr>
      <w:r>
        <w:t>PROFESSIONAL PROFILE</w:t>
      </w:r>
    </w:p>
    <w:p>
      <w:r>
        <w:t>Strategic and highly organized virtual assistant with more than 15 years of experience supporting business operations, knowledge systems, customer service, process improvement, and digital content. Founder of Brittany Blue Virtual Assistant, helping freelance sign language interpreters, Deaf-owned businesses, and service-based professionals build stronger systems, professional websites, accessible content, and efficient client experiences. Fluent in American Sign Language with a bachelor’s degree in Deaf Studies and deep knowledge of Deaf culture.</w:t>
      </w:r>
    </w:p>
    <w:p>
      <w:pPr>
        <w:pStyle w:val="Heading1"/>
        <w:keepNext/>
      </w:pPr>
      <w:r>
        <w:t>CORE SKILLS</w:t>
      </w:r>
    </w:p>
    <w:tbl>
      <w:tblPr>
        <w:tblW w:type="auto" w:w="0"/>
        <w:jc w:val="center"/>
        <w:tblLayout w:type="fixed"/>
        <w:tblLook w:firstColumn="1" w:firstRow="1" w:lastColumn="0" w:lastRow="0" w:noHBand="0" w:noVBand="1" w:val="04A0"/>
      </w:tblPr>
      <w:tblGrid>
        <w:gridCol w:w="5184"/>
        <w:gridCol w:w="5184"/>
      </w:tblGrid>
      <w:tr>
        <w:tc>
          <w:tcPr>
            <w:tcW w:type="dxa" w:w="5112"/>
            <w:tcMar>
              <w:top w:w="90" w:type="dxa"/>
              <w:start w:w="130" w:type="dxa"/>
              <w:bottom w:w="90" w:type="dxa"/>
              <w:end w:w="130" w:type="dxa"/>
            </w:tcMar>
          </w:tcPr>
          <w:p>
            <w:pPr>
              <w:spacing w:after="0"/>
            </w:pPr>
            <w:r>
              <w:rPr>
                <w:b/>
                <w:color w:val="EE6C4D"/>
              </w:rPr>
              <w:t xml:space="preserve">• </w:t>
            </w:r>
            <w:r>
              <w:t>Fluent in American Sign Language (ASL)</w:t>
            </w:r>
          </w:p>
        </w:tc>
        <w:tc>
          <w:tcPr>
            <w:tcW w:type="dxa" w:w="5112"/>
            <w:tcMar>
              <w:top w:w="90" w:type="dxa"/>
              <w:start w:w="130" w:type="dxa"/>
              <w:bottom w:w="90" w:type="dxa"/>
              <w:end w:w="130" w:type="dxa"/>
            </w:tcMar>
          </w:tcPr>
          <w:p>
            <w:pPr>
              <w:spacing w:after="0"/>
            </w:pPr>
            <w:r>
              <w:rPr>
                <w:b/>
                <w:color w:val="EE6C4D"/>
              </w:rPr>
              <w:t xml:space="preserve">• </w:t>
            </w:r>
            <w:r>
              <w:t>Deaf culture and accessibility awareness</w:t>
            </w:r>
          </w:p>
        </w:tc>
      </w:tr>
      <w:tr>
        <w:tc>
          <w:tcPr>
            <w:tcW w:type="dxa" w:w="5112"/>
            <w:tcMar>
              <w:top w:w="90" w:type="dxa"/>
              <w:start w:w="130" w:type="dxa"/>
              <w:bottom w:w="90" w:type="dxa"/>
              <w:end w:w="130" w:type="dxa"/>
            </w:tcMar>
          </w:tcPr>
          <w:p>
            <w:pPr>
              <w:spacing w:after="0"/>
            </w:pPr>
            <w:r>
              <w:rPr>
                <w:b/>
                <w:color w:val="EE6C4D"/>
              </w:rPr>
              <w:t xml:space="preserve">• </w:t>
            </w:r>
            <w:r>
              <w:t>Strategic problem-solving</w:t>
            </w:r>
          </w:p>
        </w:tc>
        <w:tc>
          <w:tcPr>
            <w:tcW w:type="dxa" w:w="5112"/>
            <w:tcMar>
              <w:top w:w="90" w:type="dxa"/>
              <w:start w:w="130" w:type="dxa"/>
              <w:bottom w:w="90" w:type="dxa"/>
              <w:end w:w="130" w:type="dxa"/>
            </w:tcMar>
          </w:tcPr>
          <w:p>
            <w:pPr>
              <w:spacing w:after="0"/>
            </w:pPr>
            <w:r>
              <w:rPr>
                <w:b/>
                <w:color w:val="EE6C4D"/>
              </w:rPr>
              <w:t xml:space="preserve">• </w:t>
            </w:r>
            <w:r>
              <w:t>Organization and workflow development</w:t>
            </w:r>
          </w:p>
        </w:tc>
      </w:tr>
      <w:tr>
        <w:tc>
          <w:tcPr>
            <w:tcW w:type="dxa" w:w="5112"/>
            <w:tcMar>
              <w:top w:w="90" w:type="dxa"/>
              <w:start w:w="130" w:type="dxa"/>
              <w:bottom w:w="90" w:type="dxa"/>
              <w:end w:w="130" w:type="dxa"/>
            </w:tcMar>
          </w:tcPr>
          <w:p>
            <w:pPr>
              <w:spacing w:after="0"/>
            </w:pPr>
            <w:r>
              <w:rPr>
                <w:b/>
                <w:color w:val="EE6C4D"/>
              </w:rPr>
              <w:t xml:space="preserve">• </w:t>
            </w:r>
            <w:r>
              <w:t>Wix website design</w:t>
            </w:r>
          </w:p>
        </w:tc>
        <w:tc>
          <w:tcPr>
            <w:tcW w:type="dxa" w:w="5112"/>
            <w:tcMar>
              <w:top w:w="90" w:type="dxa"/>
              <w:start w:w="130" w:type="dxa"/>
              <w:bottom w:w="90" w:type="dxa"/>
              <w:end w:w="130" w:type="dxa"/>
            </w:tcMar>
          </w:tcPr>
          <w:p>
            <w:pPr>
              <w:spacing w:after="0"/>
            </w:pPr>
            <w:r>
              <w:rPr>
                <w:b/>
                <w:color w:val="EE6C4D"/>
              </w:rPr>
              <w:t xml:space="preserve">• </w:t>
            </w:r>
            <w:r>
              <w:t>Canva content design</w:t>
            </w:r>
          </w:p>
        </w:tc>
      </w:tr>
      <w:tr>
        <w:tc>
          <w:tcPr>
            <w:tcW w:type="dxa" w:w="5112"/>
            <w:tcMar>
              <w:top w:w="90" w:type="dxa"/>
              <w:start w:w="130" w:type="dxa"/>
              <w:bottom w:w="90" w:type="dxa"/>
              <w:end w:w="130" w:type="dxa"/>
            </w:tcMar>
          </w:tcPr>
          <w:p>
            <w:pPr>
              <w:spacing w:after="0"/>
            </w:pPr>
            <w:r>
              <w:rPr>
                <w:b/>
                <w:color w:val="EE6C4D"/>
              </w:rPr>
              <w:t xml:space="preserve">• </w:t>
            </w:r>
            <w:r>
              <w:t>Google Workspace</w:t>
            </w:r>
          </w:p>
        </w:tc>
        <w:tc>
          <w:tcPr>
            <w:tcW w:type="dxa" w:w="5112"/>
            <w:tcMar>
              <w:top w:w="90" w:type="dxa"/>
              <w:start w:w="130" w:type="dxa"/>
              <w:bottom w:w="90" w:type="dxa"/>
              <w:end w:w="130" w:type="dxa"/>
            </w:tcMar>
          </w:tcPr>
          <w:p>
            <w:pPr>
              <w:spacing w:after="0"/>
            </w:pPr>
            <w:r>
              <w:rPr>
                <w:b/>
                <w:color w:val="EE6C4D"/>
              </w:rPr>
              <w:t xml:space="preserve">• </w:t>
            </w:r>
            <w:r>
              <w:t>Make automation</w:t>
            </w:r>
          </w:p>
        </w:tc>
      </w:tr>
      <w:tr>
        <w:tc>
          <w:tcPr>
            <w:tcW w:type="dxa" w:w="5112"/>
            <w:tcMar>
              <w:top w:w="90" w:type="dxa"/>
              <w:start w:w="130" w:type="dxa"/>
              <w:bottom w:w="90" w:type="dxa"/>
              <w:end w:w="130" w:type="dxa"/>
            </w:tcMar>
          </w:tcPr>
          <w:p>
            <w:pPr>
              <w:spacing w:after="0"/>
            </w:pPr>
            <w:r>
              <w:rPr>
                <w:b/>
                <w:color w:val="EE6C4D"/>
              </w:rPr>
              <w:t xml:space="preserve">• </w:t>
            </w:r>
            <w:r>
              <w:t>Knowledge management</w:t>
            </w:r>
          </w:p>
        </w:tc>
        <w:tc>
          <w:tcPr>
            <w:tcW w:type="dxa" w:w="5112"/>
            <w:tcMar>
              <w:top w:w="90" w:type="dxa"/>
              <w:start w:w="130" w:type="dxa"/>
              <w:bottom w:w="90" w:type="dxa"/>
              <w:end w:w="130" w:type="dxa"/>
            </w:tcMar>
          </w:tcPr>
          <w:p>
            <w:pPr>
              <w:spacing w:after="0"/>
            </w:pPr>
            <w:r>
              <w:rPr>
                <w:b/>
                <w:color w:val="EE6C4D"/>
              </w:rPr>
              <w:t xml:space="preserve">• </w:t>
            </w:r>
            <w:r>
              <w:t>SOP and document development</w:t>
            </w:r>
          </w:p>
        </w:tc>
      </w:tr>
      <w:tr>
        <w:tc>
          <w:tcPr>
            <w:tcW w:type="dxa" w:w="5112"/>
            <w:tcMar>
              <w:top w:w="90" w:type="dxa"/>
              <w:start w:w="130" w:type="dxa"/>
              <w:bottom w:w="90" w:type="dxa"/>
              <w:end w:w="130" w:type="dxa"/>
            </w:tcMar>
          </w:tcPr>
          <w:p>
            <w:pPr>
              <w:spacing w:after="0"/>
            </w:pPr>
            <w:r>
              <w:rPr>
                <w:b/>
                <w:color w:val="EE6C4D"/>
              </w:rPr>
              <w:t xml:space="preserve">• </w:t>
            </w:r>
            <w:r>
              <w:t>Accessible content and alt text</w:t>
            </w:r>
          </w:p>
        </w:tc>
        <w:tc>
          <w:tcPr>
            <w:tcW w:type="dxa" w:w="5112"/>
            <w:tcMar>
              <w:top w:w="90" w:type="dxa"/>
              <w:start w:w="130" w:type="dxa"/>
              <w:bottom w:w="90" w:type="dxa"/>
              <w:end w:w="130" w:type="dxa"/>
            </w:tcMar>
          </w:tcPr>
          <w:p>
            <w:pPr>
              <w:spacing w:after="0"/>
            </w:pPr>
            <w:r>
              <w:rPr>
                <w:b/>
                <w:color w:val="EE6C4D"/>
              </w:rPr>
              <w:t xml:space="preserve">• </w:t>
            </w:r>
            <w:r>
              <w:t>Client communication</w:t>
            </w:r>
          </w:p>
        </w:tc>
      </w:tr>
      <w:tr>
        <w:tc>
          <w:tcPr>
            <w:tcW w:type="dxa" w:w="5112"/>
            <w:tcMar>
              <w:top w:w="90" w:type="dxa"/>
              <w:start w:w="130" w:type="dxa"/>
              <w:bottom w:w="90" w:type="dxa"/>
              <w:end w:w="130" w:type="dxa"/>
            </w:tcMar>
          </w:tcPr>
          <w:p>
            <w:pPr>
              <w:spacing w:after="0"/>
            </w:pPr>
            <w:r>
              <w:rPr>
                <w:b/>
                <w:color w:val="EE6C4D"/>
              </w:rPr>
              <w:t xml:space="preserve">• </w:t>
            </w:r>
            <w:r>
              <w:t>Process improvement</w:t>
            </w:r>
          </w:p>
        </w:tc>
        <w:tc>
          <w:tcPr>
            <w:tcW w:type="dxa" w:w="5112"/>
            <w:tcMar>
              <w:top w:w="90" w:type="dxa"/>
              <w:start w:w="130" w:type="dxa"/>
              <w:bottom w:w="90" w:type="dxa"/>
              <w:end w:w="130" w:type="dxa"/>
            </w:tcMar>
          </w:tcPr>
          <w:p>
            <w:pPr>
              <w:spacing w:after="0"/>
            </w:pPr>
            <w:r>
              <w:rPr>
                <w:b/>
                <w:color w:val="EE6C4D"/>
              </w:rPr>
              <w:t xml:space="preserve">• </w:t>
            </w:r>
            <w:r>
              <w:t>Research and quality review</w:t>
            </w:r>
          </w:p>
        </w:tc>
      </w:tr>
    </w:tbl>
    <w:p>
      <w:pPr>
        <w:pStyle w:val="Heading1"/>
        <w:keepNext/>
      </w:pPr>
      <w:r>
        <w:t>PROFESSIONAL EXPERIENCE</w:t>
      </w:r>
    </w:p>
    <w:tbl>
      <w:tblPr>
        <w:tblW w:type="auto" w:w="0"/>
        <w:jc w:val="center"/>
        <w:tblLayout w:type="fixed"/>
        <w:tblLook w:firstColumn="1" w:firstRow="1" w:lastColumn="0" w:lastRow="0" w:noHBand="0" w:noVBand="1" w:val="04A0"/>
      </w:tblPr>
      <w:tblGrid>
        <w:gridCol w:w="7704"/>
        <w:gridCol w:w="2448"/>
      </w:tblGrid>
      <w:tr>
        <w:tc>
          <w:tcPr>
            <w:tcW w:type="dxa" w:w="5184"/>
            <w:tcMar>
              <w:top w:w="0" w:type="dxa"/>
              <w:start w:w="0" w:type="dxa"/>
              <w:bottom w:w="0" w:type="dxa"/>
              <w:end w:w="0" w:type="dxa"/>
            </w:tcMar>
          </w:tcPr>
          <w:p>
            <w:pPr>
              <w:spacing w:after="0"/>
            </w:pPr>
            <w:r>
              <w:rPr>
                <w:b/>
                <w:color w:val="000000"/>
                <w:sz w:val="21"/>
              </w:rPr>
              <w:t>Founder &amp; Virtual Assistant</w:t>
            </w:r>
            <w:r>
              <w:rPr>
                <w:b/>
                <w:color w:val="6C93B3"/>
                <w:sz w:val="20"/>
              </w:rPr>
              <w:t xml:space="preserve"> | Brittany Blue Virtual Assistant (BBVA)</w:t>
            </w:r>
          </w:p>
        </w:tc>
        <w:tc>
          <w:tcPr>
            <w:tcW w:type="dxa" w:w="5184"/>
            <w:tcMar>
              <w:top w:w="0" w:type="dxa"/>
              <w:start w:w="0" w:type="dxa"/>
              <w:bottom w:w="0" w:type="dxa"/>
              <w:end w:w="0" w:type="dxa"/>
            </w:tcMar>
          </w:tcPr>
          <w:p>
            <w:pPr>
              <w:spacing w:after="0"/>
              <w:jc w:val="right"/>
            </w:pPr>
            <w:r>
              <w:rPr>
                <w:b/>
                <w:color w:val="555555"/>
                <w:sz w:val="18"/>
              </w:rPr>
              <w:t>2026–Present</w:t>
            </w:r>
          </w:p>
        </w:tc>
      </w:tr>
    </w:tbl>
    <w:p>
      <w:pPr>
        <w:keepNext/>
        <w:spacing w:after="40"/>
      </w:pPr>
      <w:r>
        <w:rPr>
          <w:i/>
          <w:color w:val="555555"/>
          <w:sz w:val="17"/>
        </w:rPr>
        <w:t>Charlotte, NC</w:t>
      </w:r>
    </w:p>
    <w:p>
      <w:pPr>
        <w:pStyle w:val="ListBullet"/>
        <w:spacing w:after="30" w:line="240" w:lineRule="auto"/>
        <w:ind w:left="317" w:hanging="202"/>
      </w:pPr>
      <w:r>
        <w:t>Provide Wix website design, accessible social media content, business setup support, and systems consulting for freelance interpreters and service-based businesses.</w:t>
      </w:r>
    </w:p>
    <w:p>
      <w:pPr>
        <w:pStyle w:val="ListBullet"/>
        <w:spacing w:after="30" w:line="240" w:lineRule="auto"/>
        <w:ind w:left="317" w:hanging="202"/>
      </w:pPr>
      <w:r>
        <w:t>Translate client goals into organized workflows, branded digital assets, web content, forms, templates, and practical action plans.</w:t>
      </w:r>
    </w:p>
    <w:p>
      <w:pPr>
        <w:pStyle w:val="ListBullet"/>
        <w:spacing w:after="30" w:line="240" w:lineRule="auto"/>
        <w:ind w:left="317" w:hanging="202"/>
      </w:pPr>
      <w:r>
        <w:t>Apply Deaf Studies expertise and accessibility awareness to help clients communicate clearly with Deaf, Hard of Hearing, and hearing audiences.</w:t>
      </w:r>
    </w:p>
    <w:tbl>
      <w:tblPr>
        <w:tblW w:type="auto" w:w="0"/>
        <w:jc w:val="center"/>
        <w:tblLayout w:type="fixed"/>
        <w:tblLook w:firstColumn="1" w:firstRow="1" w:lastColumn="0" w:lastRow="0" w:noHBand="0" w:noVBand="1" w:val="04A0"/>
      </w:tblPr>
      <w:tblGrid>
        <w:gridCol w:w="7704"/>
        <w:gridCol w:w="2448"/>
      </w:tblGrid>
      <w:tr>
        <w:tc>
          <w:tcPr>
            <w:tcW w:type="dxa" w:w="5184"/>
            <w:tcMar>
              <w:top w:w="0" w:type="dxa"/>
              <w:start w:w="0" w:type="dxa"/>
              <w:bottom w:w="0" w:type="dxa"/>
              <w:end w:w="0" w:type="dxa"/>
            </w:tcMar>
          </w:tcPr>
          <w:p>
            <w:pPr>
              <w:spacing w:after="0"/>
            </w:pPr>
            <w:r>
              <w:rPr>
                <w:b/>
                <w:color w:val="000000"/>
                <w:sz w:val="21"/>
              </w:rPr>
              <w:t>Knowledge Management Specialist; previously Data Entry Specialist &amp; Customer Service Representative</w:t>
            </w:r>
            <w:r>
              <w:rPr>
                <w:b/>
                <w:color w:val="6C93B3"/>
                <w:sz w:val="20"/>
              </w:rPr>
              <w:t xml:space="preserve"> | Republic Services</w:t>
            </w:r>
          </w:p>
        </w:tc>
        <w:tc>
          <w:tcPr>
            <w:tcW w:type="dxa" w:w="5184"/>
            <w:tcMar>
              <w:top w:w="0" w:type="dxa"/>
              <w:start w:w="0" w:type="dxa"/>
              <w:bottom w:w="0" w:type="dxa"/>
              <w:end w:w="0" w:type="dxa"/>
            </w:tcMar>
          </w:tcPr>
          <w:p>
            <w:pPr>
              <w:spacing w:after="0"/>
              <w:jc w:val="right"/>
            </w:pPr>
            <w:r>
              <w:rPr>
                <w:b/>
                <w:color w:val="555555"/>
                <w:sz w:val="18"/>
              </w:rPr>
              <w:t>2010–Present</w:t>
            </w:r>
          </w:p>
        </w:tc>
      </w:tr>
    </w:tbl>
    <w:p>
      <w:pPr>
        <w:keepNext/>
        <w:spacing w:after="40"/>
      </w:pPr>
      <w:r>
        <w:rPr>
          <w:i/>
          <w:color w:val="555555"/>
          <w:sz w:val="17"/>
        </w:rPr>
        <w:t>Charlotte, NC</w:t>
      </w:r>
    </w:p>
    <w:p>
      <w:pPr>
        <w:pStyle w:val="ListBullet"/>
        <w:spacing w:after="30" w:line="240" w:lineRule="auto"/>
        <w:ind w:left="317" w:hanging="202"/>
      </w:pPr>
      <w:r>
        <w:t>Progressed through customer service, data entry, and knowledge management roles while supporting internal teams and customers across multiple systems.</w:t>
      </w:r>
    </w:p>
    <w:p>
      <w:pPr>
        <w:pStyle w:val="ListBullet"/>
        <w:spacing w:after="30" w:line="240" w:lineRule="auto"/>
        <w:ind w:left="317" w:hanging="202"/>
      </w:pPr>
      <w:r>
        <w:t>Develop and maintain accurate knowledge content used by representatives handling customer inquiries; coordinate with internal partners to gather, verify, and publish updates.</w:t>
      </w:r>
    </w:p>
    <w:p>
      <w:pPr>
        <w:pStyle w:val="ListBullet"/>
        <w:spacing w:after="30" w:line="240" w:lineRule="auto"/>
        <w:ind w:left="317" w:hanging="202"/>
      </w:pPr>
      <w:r>
        <w:t>Support system-development and CEUI initiatives, test new functionality, provide quality feedback, and document rate, service, and process changes.</w:t>
      </w:r>
    </w:p>
    <w:p>
      <w:pPr>
        <w:pStyle w:val="ListBullet"/>
        <w:spacing w:after="30" w:line="240" w:lineRule="auto"/>
        <w:ind w:left="317" w:hanging="202"/>
      </w:pPr>
      <w:r>
        <w:t>Entered and verified customer contracts, service requests, account information, and sales data; resolved email and online inquiries with a strong focus on accuracy.</w:t>
      </w:r>
    </w:p>
    <w:p>
      <w:pPr>
        <w:pStyle w:val="ListBullet"/>
        <w:spacing w:after="30" w:line="240" w:lineRule="auto"/>
        <w:ind w:left="317" w:hanging="202"/>
      </w:pPr>
      <w:r>
        <w:t>Handled customer payments, service scheduling, account questions, sales inquiries, and escalated concerns while coordinating with sales and dispatch teams.</w:t>
      </w:r>
    </w:p>
    <w:p>
      <w:r>
        <w:br w:type="page"/>
      </w:r>
    </w:p>
    <w:tbl>
      <w:tblPr>
        <w:tblW w:type="auto" w:w="0"/>
        <w:jc w:val="center"/>
        <w:tblLayout w:type="fixed"/>
        <w:tblLook w:firstColumn="1" w:firstRow="1" w:lastColumn="0" w:lastRow="0" w:noHBand="0" w:noVBand="1" w:val="04A0"/>
      </w:tblPr>
      <w:tblGrid>
        <w:gridCol w:w="7704"/>
        <w:gridCol w:w="2448"/>
      </w:tblGrid>
      <w:tr>
        <w:tc>
          <w:tcPr>
            <w:tcW w:type="dxa" w:w="5184"/>
            <w:tcMar>
              <w:top w:w="0" w:type="dxa"/>
              <w:start w:w="0" w:type="dxa"/>
              <w:bottom w:w="0" w:type="dxa"/>
              <w:end w:w="0" w:type="dxa"/>
            </w:tcMar>
          </w:tcPr>
          <w:p>
            <w:pPr>
              <w:spacing w:after="0"/>
            </w:pPr>
            <w:r>
              <w:rPr>
                <w:b/>
                <w:color w:val="000000"/>
                <w:sz w:val="21"/>
              </w:rPr>
              <w:t>Founder &amp; Community Program Lead</w:t>
            </w:r>
            <w:r>
              <w:rPr>
                <w:b/>
                <w:color w:val="6C93B3"/>
                <w:sz w:val="20"/>
              </w:rPr>
              <w:t xml:space="preserve"> | DEAFinitely Fun</w:t>
            </w:r>
          </w:p>
        </w:tc>
        <w:tc>
          <w:tcPr>
            <w:tcW w:type="dxa" w:w="5184"/>
            <w:tcMar>
              <w:top w:w="0" w:type="dxa"/>
              <w:start w:w="0" w:type="dxa"/>
              <w:bottom w:w="0" w:type="dxa"/>
              <w:end w:w="0" w:type="dxa"/>
            </w:tcMar>
          </w:tcPr>
          <w:p>
            <w:pPr>
              <w:spacing w:after="0"/>
              <w:jc w:val="right"/>
            </w:pPr>
            <w:r>
              <w:rPr>
                <w:b/>
                <w:color w:val="555555"/>
                <w:sz w:val="18"/>
              </w:rPr>
              <w:t>2025–Present</w:t>
            </w:r>
          </w:p>
        </w:tc>
      </w:tr>
    </w:tbl>
    <w:p>
      <w:pPr>
        <w:keepNext/>
        <w:spacing w:after="40"/>
      </w:pPr>
      <w:r>
        <w:rPr>
          <w:i/>
          <w:color w:val="555555"/>
          <w:sz w:val="17"/>
        </w:rPr>
        <w:t>Charlotte, NC</w:t>
      </w:r>
    </w:p>
    <w:p>
      <w:pPr>
        <w:pStyle w:val="ListBullet"/>
        <w:spacing w:after="30" w:line="240" w:lineRule="auto"/>
        <w:ind w:left="317" w:hanging="202"/>
      </w:pPr>
      <w:r>
        <w:t>Coordinate online resources, events, newsletters, volunteers, and digital content designed to help Deaf, Hard of Hearing, DeafBlind, interpreting, and allied communities grow, connect, and access information.</w:t>
      </w:r>
    </w:p>
    <w:p>
      <w:pPr>
        <w:pStyle w:val="ListBullet"/>
        <w:spacing w:after="30" w:line="240" w:lineRule="auto"/>
        <w:ind w:left="317" w:hanging="202"/>
      </w:pPr>
      <w:r>
        <w:t>Create accessible community communications and collaborate with Deaf-owned businesses, interpreters, volunteers, and community organizations.</w:t>
      </w:r>
    </w:p>
    <w:p>
      <w:pPr>
        <w:pStyle w:val="Heading1"/>
        <w:keepNext/>
      </w:pPr>
      <w:r>
        <w:t>DEAF, DEAFBLIND &amp; MINISTRY EXPERIENCE</w:t>
      </w:r>
    </w:p>
    <w:p>
      <w:pPr>
        <w:pStyle w:val="ListBullet"/>
        <w:spacing w:after="30" w:line="240" w:lineRule="auto"/>
        <w:ind w:left="317" w:hanging="202"/>
      </w:pPr>
      <w:r>
        <w:t>Twenty years of continued service and education in Deaf ministry, supporting worship, community connection, and accessible communication in faith-based settings.</w:t>
      </w:r>
    </w:p>
    <w:p>
      <w:pPr>
        <w:pStyle w:val="ListBullet"/>
        <w:spacing w:after="30" w:line="240" w:lineRule="auto"/>
        <w:ind w:left="317" w:hanging="202"/>
      </w:pPr>
      <w:r>
        <w:t>Experience engaging with and supporting members of the DeafBlind community, with attention to individual communication preferences, environmental access, and respectful person-centered interaction.</w:t>
      </w:r>
    </w:p>
    <w:p>
      <w:pPr>
        <w:pStyle w:val="ListBullet"/>
        <w:spacing w:after="30" w:line="240" w:lineRule="auto"/>
        <w:ind w:left="317" w:hanging="202"/>
      </w:pPr>
      <w:r>
        <w:t>Ongoing professional and community involvement with Deaf, Hard of Hearing, and interpreting communities through ministry, advocacy, education, events, and volunteer leadership.</w:t>
      </w:r>
    </w:p>
    <w:p>
      <w:pPr>
        <w:pStyle w:val="ListBullet"/>
        <w:spacing w:after="30" w:line="240" w:lineRule="auto"/>
        <w:ind w:left="317" w:hanging="202"/>
      </w:pPr>
      <w:r>
        <w:t>Attended the Deaf Evangelism Conference in Lakewood, Colorado, in July 2026 to continue developing knowledge of Deaf ministry, accessible faith engagement, and community leadership.</w:t>
      </w:r>
    </w:p>
    <w:p>
      <w:pPr>
        <w:pStyle w:val="Heading1"/>
        <w:keepNext/>
      </w:pPr>
      <w:r>
        <w:t>EDUCATION</w:t>
      </w:r>
    </w:p>
    <w:tbl>
      <w:tblPr>
        <w:tblW w:type="auto" w:w="0"/>
        <w:jc w:val="center"/>
        <w:tblLayout w:type="fixed"/>
        <w:tblLook w:firstColumn="1" w:firstRow="1" w:lastColumn="0" w:lastRow="0" w:noHBand="0" w:noVBand="1" w:val="04A0"/>
      </w:tblPr>
      <w:tblGrid>
        <w:gridCol w:w="7704"/>
        <w:gridCol w:w="2448"/>
      </w:tblGrid>
      <w:tr>
        <w:tc>
          <w:tcPr>
            <w:tcW w:type="dxa" w:w="5184"/>
            <w:tcMar>
              <w:top w:w="0" w:type="dxa"/>
              <w:start w:w="0" w:type="dxa"/>
              <w:bottom w:w="0" w:type="dxa"/>
              <w:end w:w="0" w:type="dxa"/>
            </w:tcMar>
          </w:tcPr>
          <w:p>
            <w:pPr>
              <w:spacing w:after="0"/>
            </w:pPr>
            <w:r>
              <w:rPr>
                <w:b/>
                <w:color w:val="000000"/>
                <w:sz w:val="21"/>
              </w:rPr>
              <w:t>Bachelor of Arts in Deaf Studies, Honors</w:t>
            </w:r>
            <w:r>
              <w:rPr>
                <w:b/>
                <w:color w:val="6C93B3"/>
                <w:sz w:val="20"/>
              </w:rPr>
              <w:t xml:space="preserve"> | Carolina University</w:t>
            </w:r>
          </w:p>
        </w:tc>
        <w:tc>
          <w:tcPr>
            <w:tcW w:type="dxa" w:w="5184"/>
            <w:tcMar>
              <w:top w:w="0" w:type="dxa"/>
              <w:start w:w="0" w:type="dxa"/>
              <w:bottom w:w="0" w:type="dxa"/>
              <w:end w:w="0" w:type="dxa"/>
            </w:tcMar>
          </w:tcPr>
          <w:p>
            <w:pPr>
              <w:spacing w:after="0"/>
              <w:jc w:val="right"/>
            </w:pPr>
            <w:r>
              <w:rPr>
                <w:b/>
                <w:color w:val="555555"/>
                <w:sz w:val="18"/>
              </w:rPr>
              <w:t>June 2025</w:t>
            </w:r>
          </w:p>
        </w:tc>
      </w:tr>
    </w:tbl>
    <w:p>
      <w:pPr>
        <w:keepNext/>
        <w:spacing w:after="40"/>
      </w:pPr>
      <w:r>
        <w:rPr>
          <w:i/>
          <w:color w:val="555555"/>
          <w:sz w:val="17"/>
        </w:rPr>
        <w:t>Winston-Salem, NC</w:t>
      </w:r>
    </w:p>
    <w:tbl>
      <w:tblPr>
        <w:tblW w:type="auto" w:w="0"/>
        <w:jc w:val="center"/>
        <w:tblLayout w:type="fixed"/>
        <w:tblLook w:firstColumn="1" w:firstRow="1" w:lastColumn="0" w:lastRow="0" w:noHBand="0" w:noVBand="1" w:val="04A0"/>
      </w:tblPr>
      <w:tblGrid>
        <w:gridCol w:w="7704"/>
        <w:gridCol w:w="2448"/>
      </w:tblGrid>
      <w:tr>
        <w:tc>
          <w:tcPr>
            <w:tcW w:type="dxa" w:w="5184"/>
            <w:tcMar>
              <w:top w:w="0" w:type="dxa"/>
              <w:start w:w="0" w:type="dxa"/>
              <w:bottom w:w="0" w:type="dxa"/>
              <w:end w:w="0" w:type="dxa"/>
            </w:tcMar>
          </w:tcPr>
          <w:p>
            <w:pPr>
              <w:spacing w:after="0"/>
            </w:pPr>
            <w:r>
              <w:rPr>
                <w:b/>
                <w:color w:val="000000"/>
                <w:sz w:val="21"/>
              </w:rPr>
              <w:t>High School Diploma</w:t>
            </w:r>
            <w:r>
              <w:rPr>
                <w:b/>
                <w:color w:val="6C93B3"/>
                <w:sz w:val="20"/>
              </w:rPr>
              <w:t xml:space="preserve"> | Independence High School</w:t>
            </w:r>
          </w:p>
        </w:tc>
        <w:tc>
          <w:tcPr>
            <w:tcW w:type="dxa" w:w="5184"/>
            <w:tcMar>
              <w:top w:w="0" w:type="dxa"/>
              <w:start w:w="0" w:type="dxa"/>
              <w:bottom w:w="0" w:type="dxa"/>
              <w:end w:w="0" w:type="dxa"/>
            </w:tcMar>
          </w:tcPr>
          <w:p>
            <w:pPr>
              <w:spacing w:after="0"/>
              <w:jc w:val="right"/>
            </w:pPr>
            <w:r>
              <w:rPr>
                <w:b/>
                <w:color w:val="555555"/>
                <w:sz w:val="18"/>
              </w:rPr>
              <w:t>June 2005</w:t>
            </w:r>
          </w:p>
        </w:tc>
      </w:tr>
    </w:tbl>
    <w:p>
      <w:pPr>
        <w:keepNext/>
        <w:spacing w:after="40"/>
      </w:pPr>
      <w:r>
        <w:rPr>
          <w:i/>
          <w:color w:val="555555"/>
          <w:sz w:val="17"/>
        </w:rPr>
        <w:t>Charlotte, NC</w:t>
      </w:r>
    </w:p>
    <w:p>
      <w:pPr>
        <w:pStyle w:val="Heading1"/>
        <w:keepNext/>
      </w:pPr>
      <w:r>
        <w:t>PROFESSIONAL DEVELOPMENT</w:t>
      </w:r>
    </w:p>
    <w:p>
      <w:pPr>
        <w:pStyle w:val="ListBullet"/>
        <w:spacing w:after="30" w:line="240" w:lineRule="auto"/>
        <w:ind w:left="317" w:hanging="202"/>
      </w:pPr>
      <w:r>
        <w:t>Deaf Evangelism Conference — Lakewood, Colorado (July 2026)</w:t>
      </w:r>
    </w:p>
    <w:p>
      <w:pPr>
        <w:pStyle w:val="ListBullet"/>
        <w:spacing w:after="30" w:line="240" w:lineRule="auto"/>
        <w:ind w:left="317" w:hanging="202"/>
      </w:pPr>
      <w:r>
        <w:t>VRS Readiness Courses — receptive skills, role shifting, processing, and interpreting preparation</w:t>
      </w:r>
    </w:p>
    <w:p>
      <w:pPr>
        <w:pStyle w:val="ListBullet"/>
        <w:spacing w:after="30" w:line="240" w:lineRule="auto"/>
        <w:ind w:left="317" w:hanging="202"/>
      </w:pPr>
      <w:r>
        <w:t>Business Writing Fundamentals | Growth Mindset | Advanced Excel Training</w:t>
      </w:r>
    </w:p>
    <w:p>
      <w:pPr>
        <w:pStyle w:val="Heading1"/>
        <w:keepNext/>
      </w:pPr>
      <w:r>
        <w:t>PROFESSIONAL MEMBERSHIPS &amp; LEADERSHIP</w:t>
      </w:r>
    </w:p>
    <w:p>
      <w:pPr>
        <w:spacing w:after="0"/>
      </w:pPr>
      <w:r>
        <w:t>Registry of Interpreters for the Deaf (RID)  |  North Carolina Registry of Interpreters for the Deaf (NCRID)  |  NAOBI-DC, Membership Committee Chair</w:t>
      </w:r>
    </w:p>
    <w:sectPr w:rsidR="00FC693F" w:rsidRPr="0006063C" w:rsidSect="00034616">
      <w:footerReference w:type="default" r:id="rId9"/>
      <w:pgSz w:w="12240" w:h="15840"/>
      <w:pgMar w:top="792" w:right="936" w:bottom="792"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Brittany Blue  •  Virtual Assistant  •  brittanyblueva.com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6C93B3"/>
      <w:sz w:val="24"/>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Theme="majorHAnsi" w:eastAsiaTheme="majorEastAsia" w:hAnsiTheme="majorHAnsi" w:cstheme="majorBidi" w:ascii="Aptos Display" w:hAnsi="Aptos Display"/>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Brittany Blue - Virtual Assistant Resume</dc:title>
  <dc:subject>BBVA-branded professional resume</dc:subject>
  <dc:creator>Brittany Blue</dc:creator>
  <cp:keywords/>
  <dc:description>generated by python-docx</dc:description>
  <cp:lastModifiedBy/>
  <cp:revision>1</cp:revision>
  <dcterms:created xsi:type="dcterms:W3CDTF">2013-12-23T23:15:00Z</dcterms:created>
  <dcterms:modified xsi:type="dcterms:W3CDTF">2013-12-23T23:15:00Z</dcterms:modified>
  <cp:category/>
</cp:coreProperties>
</file>